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85" w:rsidRPr="00094C85" w:rsidRDefault="00094C85" w:rsidP="00094C85">
      <w:pPr>
        <w:spacing w:after="0" w:line="240" w:lineRule="auto"/>
        <w:ind w:firstLine="397"/>
        <w:jc w:val="both"/>
        <w:rPr>
          <w:rFonts w:ascii="Open Sans Condensed" w:eastAsia="Times New Roman" w:hAnsi="Open Sans Condensed" w:cs="Arial"/>
          <w:b/>
          <w:color w:val="707070"/>
          <w:sz w:val="29"/>
          <w:szCs w:val="29"/>
          <w:lang w:eastAsia="ru-RU"/>
        </w:rPr>
      </w:pPr>
      <w:r w:rsidRPr="00094C85">
        <w:rPr>
          <w:rFonts w:ascii="Open Sans Condensed" w:eastAsia="Times New Roman" w:hAnsi="Open Sans Condensed" w:cs="Arial"/>
          <w:b/>
          <w:color w:val="707070"/>
          <w:sz w:val="29"/>
          <w:szCs w:val="29"/>
          <w:lang w:eastAsia="ru-RU"/>
        </w:rPr>
        <w:t xml:space="preserve">Критерии доступности и качества медицинской помощи </w:t>
      </w:r>
    </w:p>
    <w:p w:rsidR="00094C85" w:rsidRPr="00094C85" w:rsidRDefault="00094C85" w:rsidP="00094C85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Критериями доступности и качества медицинской помощи являются:</w:t>
      </w:r>
      <w:bookmarkStart w:id="0" w:name="_GoBack"/>
      <w:bookmarkEnd w:id="0"/>
    </w:p>
    <w:p w:rsidR="00094C85" w:rsidRPr="00094C85" w:rsidRDefault="00094C85" w:rsidP="00094C85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удовлетворенность населения медицинской помощью - не менее 60 процентов от числа опрошенных;</w:t>
      </w:r>
    </w:p>
    <w:p w:rsidR="00094C85" w:rsidRPr="00094C85" w:rsidRDefault="00094C85" w:rsidP="00094C85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- не более 13,9 случая на 1000 человек населения;</w:t>
      </w:r>
    </w:p>
    <w:p w:rsidR="00094C85" w:rsidRPr="00094C85" w:rsidRDefault="00094C85" w:rsidP="00094C85">
      <w:pPr>
        <w:numPr>
          <w:ilvl w:val="0"/>
          <w:numId w:val="1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в трудоспособном возрасте - 590,9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от болезней системы кровообращения - 846,5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трудоспособного возраста от болезней системы кровообращения - 212,3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от новообразований - не более 226,0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от дорожно-транспортных происшествий - не более 9,1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заболеваемость населения туберкулезом - 45,9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смертность населения от туберкулеза - 7,9 случая на 100 тыс. человек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материнская смертность - 11,5 случая на 100 тыс. детей, родившихся живыми;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младенческая смертность - 7,4 случая на 1000 родившихся живыми; смертность детей в возрасте 0-14 лет - 29,5 случая на 100 тыс. человек соответствующего возраста;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 - 51,5 процента;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число лиц трудоспособного возраста, впервые признанных инвалидами, - 20,7 человека на 10 тыс. человек трудоспособного возраста;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число лиц в возрасте до 18 лет, впервые признанных инвалидами, - 2295 человек;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обеспеченность населения врачами - 32,6 человека на 10 тыс. населения; соотношение врачи/средние медицинские работники - 1/2;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обеспеченность населения больничными койками - 83,59 на 10 тыс. населения;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отношение количества медицинских организаций, переведенных на новую (отраслевую) систему оплаты труда, ориентированную на результат, к общему количеству медицинских организаций, работающих в рамках Программы, - 100 процентов;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отношение среднемесячной номинальной начисленной заработной платы врачей государственных (муниципальных) медицинских организаций к среднемесячной номинальной начисленной заработной плате работников, занятых в сфере экономики Московской области, - 130,7 процента;</w:t>
      </w:r>
    </w:p>
    <w:p w:rsidR="00094C85" w:rsidRPr="00094C85" w:rsidRDefault="00094C85" w:rsidP="00094C85">
      <w:pPr>
        <w:numPr>
          <w:ilvl w:val="0"/>
          <w:numId w:val="2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отношение среднемесячной номинальной начисленной заработной платы медицинских работников, имеющих среднее медицинское образование, государственных (муниципальных) медицинских организаций к среднемесячной номинальной начисленной заработной плате работников, занятых в сфере экономики Московской области, - 76,2 процента.</w:t>
      </w:r>
    </w:p>
    <w:p w:rsidR="00094C85" w:rsidRPr="00094C85" w:rsidRDefault="00094C85" w:rsidP="00094C85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Показатели деятельности медицинских организаций по оказанию первичной медико-санитарной помощи: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доля выполненных патронажей детей первого года жизни от плановых врачебных патронажей детей первого года жизни - 98 процентов;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lastRenderedPageBreak/>
        <w:t>полнота охвата профилактическими осмотрами детей от числа детей, подлежащих профилактическим осмотрам, - 100 процентов;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доля посещений с профилактической целью к общему количеству посещений поликлиники - 27,9 процента;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уровень госпитализации населения, прикрепленного к медицинской организации, оказывающей первичную медико-санитарную помощь, - 162,8 на 1000 человек;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удельный вес госпитализаций в экстренной форме в общем объеме госпитализаций населения, прикрепленного к медицинской организации, оказывающей первичную медико-санитарную помощь, - 43,2 процента;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доля медицинских организаций государственной (муниципальной) системы здравоохранения, оказывающих первичную медико-санитарную помощь, финансирование которых осуществляется по результатам деятельности на основании </w:t>
      </w:r>
      <w:proofErr w:type="spellStart"/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подушевого</w:t>
      </w:r>
      <w:proofErr w:type="spellEnd"/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норматива на прикрепленное население, в общем количестве таких медицинских организаций - 38 процентов;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количество медицинских организаций, осуществляющих автоматизированную запись на прием к врачу с использованием информационно-телекоммуникационной сети Интернет и информационно-справочных сенсорных терминалов, - 350;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средняя длительность лечения в медицинской организации, оказывающей медицинскую помощь в стационарных условиях, - 12,8 дня;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эффективность деятельности медицинских организаций на основе оценки выполнения функции врачебной должности, показателей рационального использования коечного фонда: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 амбулаторной помощи - 4300 посещений на врачебную должность в год;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по стационарной помощи - 342,2 дня работы койки в год;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удельный вес детей, снятых с диспансерного наблюдения по выздоровлению, в общем числе детей, состоящих под диспансерным наблюдением, - 7 процентов;</w:t>
      </w:r>
    </w:p>
    <w:p w:rsidR="00094C85" w:rsidRPr="00094C85" w:rsidRDefault="00094C85" w:rsidP="00094C8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36" w:lineRule="auto"/>
        <w:ind w:left="142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удельный вес детей с улучшением состояния здоровья в общем числе детей, состоящих под диспансерным наблюдением, - 15,9 процента.</w:t>
      </w:r>
    </w:p>
    <w:p w:rsidR="00094C85" w:rsidRPr="00094C85" w:rsidRDefault="00094C85" w:rsidP="00094C85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Показатели деятельности медицинских организаций по оказанию специализированной, в том числе высокотехнологичной, медицинской помощи:</w:t>
      </w:r>
    </w:p>
    <w:p w:rsidR="00094C85" w:rsidRPr="00094C85" w:rsidRDefault="00094C85" w:rsidP="00094C85">
      <w:pPr>
        <w:numPr>
          <w:ilvl w:val="0"/>
          <w:numId w:val="4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доля граждан, получивших обоснованный отказ в оказании высокотехнологичной медицинской помощи, в общей численности граждан, направленных на оказание высокотехнологичной медицинской помощи Министерством здравоохранения Московской области, - 3,26 процента;</w:t>
      </w:r>
    </w:p>
    <w:p w:rsidR="00094C85" w:rsidRPr="00094C85" w:rsidRDefault="00094C85" w:rsidP="00094C85">
      <w:pPr>
        <w:numPr>
          <w:ilvl w:val="0"/>
          <w:numId w:val="4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доля государственных (муниципальных) медицинских организаций, оказывающих медицинскую помощь в стационарных условиях, финансирование которых осуществляется по результатам деятельности по законченному случаю лечения в соответствии с нормативом финансовых затрат, рассчитанным на основе клинико-статистических групп, к общему количеству государственных (муниципальных) медицинских организаций, оказывающих медицинскую помощь в стационарных условиях, - 86 процентов;</w:t>
      </w:r>
    </w:p>
    <w:p w:rsidR="00094C85" w:rsidRPr="00094C85" w:rsidRDefault="00094C85" w:rsidP="00094C85">
      <w:pPr>
        <w:numPr>
          <w:ilvl w:val="0"/>
          <w:numId w:val="4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количество обоснованных жалоб, в том числе на отказ в оказании медицинской помощи, предоставляемой в рамках Программы, - 0,003 на 1000 человек населения.</w:t>
      </w:r>
    </w:p>
    <w:p w:rsidR="00094C85" w:rsidRPr="00094C85" w:rsidRDefault="00094C85" w:rsidP="00094C85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>Показатели деятельности медицинских организаций по оказанию скорой, в том числе скорой специализированной, медицинской помощи:</w:t>
      </w:r>
    </w:p>
    <w:p w:rsidR="00094C85" w:rsidRPr="00094C85" w:rsidRDefault="00094C85" w:rsidP="00094C85">
      <w:pPr>
        <w:numPr>
          <w:ilvl w:val="0"/>
          <w:numId w:val="5"/>
        </w:numPr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доля пациентов, которым скорая помощь оказана в течение 15 минут после вызова, - 77,3 процента.</w:t>
      </w:r>
    </w:p>
    <w:p w:rsidR="00094C85" w:rsidRPr="00094C85" w:rsidRDefault="00094C85" w:rsidP="00094C85">
      <w:pPr>
        <w:spacing w:before="100" w:beforeAutospacing="1" w:after="100" w:afterAutospacing="1" w:line="336" w:lineRule="auto"/>
        <w:ind w:firstLine="397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lastRenderedPageBreak/>
        <w:t>(ПОСТАНОВЛЕНИЕ ПРАВИТЕЛЬСТВА МОСКОВСКОЙ ОБЛАСТИ от 25 октября 2013 г. N 876/43</w:t>
      </w:r>
      <w:proofErr w:type="gramStart"/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 О</w:t>
      </w:r>
      <w:proofErr w:type="gramEnd"/>
      <w:r w:rsidRPr="00094C85">
        <w:rPr>
          <w:rFonts w:ascii="Arial" w:eastAsia="Times New Roman" w:hAnsi="Arial" w:cs="Arial"/>
          <w:b/>
          <w:bCs/>
          <w:color w:val="707070"/>
          <w:sz w:val="19"/>
          <w:szCs w:val="19"/>
          <w:lang w:eastAsia="ru-RU"/>
        </w:rPr>
        <w:t xml:space="preserve"> МОСКОВСКОЙ ОБЛАСТНОЙ ПРОГРАММЕ ГОСУДАРСТВЕННЫХ ГАРАНТИЙ БЕСПЛАТНОГО ОКАЗАНИЯ ГРАЖДАНАМ МЕДИЦИНСКОЙ ПОМОЩИ НА 2014 ГОД И ПЛАНОВЫЙ ПЕРИОД 2015 И 2016 ГОДОВ)</w:t>
      </w:r>
    </w:p>
    <w:p w:rsidR="00C06AF0" w:rsidRDefault="00C06AF0"/>
    <w:sectPr w:rsidR="00C0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751"/>
    <w:multiLevelType w:val="multilevel"/>
    <w:tmpl w:val="7CAA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F78E0"/>
    <w:multiLevelType w:val="multilevel"/>
    <w:tmpl w:val="01C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04AB9"/>
    <w:multiLevelType w:val="multilevel"/>
    <w:tmpl w:val="B27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E729B"/>
    <w:multiLevelType w:val="multilevel"/>
    <w:tmpl w:val="D56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92562"/>
    <w:multiLevelType w:val="multilevel"/>
    <w:tmpl w:val="910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B"/>
    <w:rsid w:val="00094C85"/>
    <w:rsid w:val="00215AFF"/>
    <w:rsid w:val="00244A0B"/>
    <w:rsid w:val="007F34E2"/>
    <w:rsid w:val="00C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2663">
                                      <w:marLeft w:val="450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2891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60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909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2015-11-19T12:30:00Z</dcterms:created>
  <dcterms:modified xsi:type="dcterms:W3CDTF">2015-11-19T12:32:00Z</dcterms:modified>
</cp:coreProperties>
</file>